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МУ «Отдел образования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Курчалоевского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муниципального района»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«АЧЕРЕШКИНСКАЯ СРЕДНЯЯ ШКОЛА»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(МБОУ «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Ачерешкинская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СШ»)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МУ «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Курчалойн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муниципальни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</w:t>
      </w: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оштан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дешаран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дакъа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Муниципальни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бюджетни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йукъарадешаран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учреждени</w:t>
      </w:r>
      <w:proofErr w:type="spellEnd"/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«АЧАРШКАРА ЙУККЪЕРА ШКОЛА»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(МБЙУ «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Ачаршкара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ЙУШ»)</w:t>
      </w:r>
    </w:p>
    <w:p w:rsidR="00773CBB" w:rsidRPr="00125425" w:rsidRDefault="00773CBB" w:rsidP="00773C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3CBB" w:rsidRDefault="00773CBB">
      <w:pPr>
        <w:spacing w:after="0" w:line="268" w:lineRule="auto"/>
        <w:ind w:left="2407" w:right="2239" w:hanging="10"/>
        <w:jc w:val="center"/>
        <w:rPr>
          <w:rFonts w:ascii="Times New Roman" w:eastAsia="Times New Roman" w:hAnsi="Times New Roman" w:cs="Times New Roman"/>
          <w:b/>
          <w:color w:val="181818"/>
          <w:sz w:val="28"/>
        </w:rPr>
      </w:pPr>
    </w:p>
    <w:p w:rsidR="00C9297D" w:rsidRDefault="00773CBB">
      <w:pPr>
        <w:spacing w:after="0" w:line="268" w:lineRule="auto"/>
        <w:ind w:left="2407" w:right="2239" w:hanging="10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Протокол родительского собрания в 9-х классах </w:t>
      </w:r>
    </w:p>
    <w:p w:rsidR="00C9297D" w:rsidRDefault="00773CBB">
      <w:pPr>
        <w:spacing w:after="0"/>
        <w:ind w:left="156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</w:p>
    <w:p w:rsidR="00C9297D" w:rsidRDefault="00773CBB">
      <w:pPr>
        <w:spacing w:after="77"/>
        <w:ind w:left="1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9297D" w:rsidRDefault="00773CBB">
      <w:pPr>
        <w:spacing w:after="24"/>
        <w:ind w:left="14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«20». 12. 2024 г.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№ 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spacing w:after="0"/>
        <w:ind w:left="9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Ачерешки</w:t>
      </w:r>
      <w:proofErr w:type="spellEnd"/>
    </w:p>
    <w:p w:rsidR="00C9297D" w:rsidRDefault="00773CBB">
      <w:pPr>
        <w:spacing w:after="509"/>
        <w:ind w:left="19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C9297D" w:rsidRDefault="00773CBB">
      <w:pPr>
        <w:spacing w:after="15" w:line="355" w:lineRule="auto"/>
        <w:ind w:left="19" w:right="708" w:hanging="10"/>
      </w:pPr>
      <w:r>
        <w:rPr>
          <w:rFonts w:ascii="Times New Roman" w:eastAsia="Times New Roman" w:hAnsi="Times New Roman" w:cs="Times New Roman"/>
          <w:color w:val="181818"/>
          <w:sz w:val="28"/>
        </w:rPr>
        <w:t>Тема собрания: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«Профильное обучение и выбор профиля обучения»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</w:rPr>
        <w:t xml:space="preserve">Присутствовали:  </w:t>
      </w:r>
      <w:r>
        <w:rPr>
          <w:rFonts w:ascii="Times New Roman" w:eastAsia="Times New Roman" w:hAnsi="Times New Roman" w:cs="Times New Roman"/>
          <w:sz w:val="28"/>
        </w:rPr>
        <w:t>директор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школы  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З.Ш. </w:t>
      </w:r>
      <w:r>
        <w:rPr>
          <w:rFonts w:ascii="Times New Roman" w:eastAsia="Times New Roman" w:hAnsi="Times New Roman" w:cs="Times New Roman"/>
          <w:sz w:val="28"/>
        </w:rPr>
        <w:t xml:space="preserve">заместитель по УВР </w:t>
      </w:r>
      <w:proofErr w:type="spellStart"/>
      <w:r>
        <w:rPr>
          <w:rFonts w:ascii="Times New Roman" w:eastAsia="Times New Roman" w:hAnsi="Times New Roman" w:cs="Times New Roman"/>
          <w:sz w:val="28"/>
        </w:rPr>
        <w:t>Хпамзатова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П.А.</w:t>
      </w:r>
    </w:p>
    <w:p w:rsidR="00C9297D" w:rsidRDefault="00773CBB">
      <w:pPr>
        <w:spacing w:after="103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>классные руководители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 </w:t>
      </w:r>
    </w:p>
    <w:p w:rsidR="00C9297D" w:rsidRDefault="00773CBB">
      <w:pPr>
        <w:spacing w:after="134"/>
        <w:ind w:left="24"/>
      </w:pPr>
      <w:r>
        <w:rPr>
          <w:rFonts w:ascii="Times New Roman" w:eastAsia="Times New Roman" w:hAnsi="Times New Roman" w:cs="Times New Roman"/>
          <w:color w:val="181818"/>
          <w:sz w:val="28"/>
        </w:rPr>
        <w:t>95 родителей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spacing w:after="0" w:line="268" w:lineRule="auto"/>
        <w:ind w:left="2407" w:right="2313" w:hanging="10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Повестка собрания: </w:t>
      </w:r>
    </w:p>
    <w:p w:rsidR="00C9297D" w:rsidRDefault="00773CBB">
      <w:pPr>
        <w:spacing w:after="21"/>
        <w:ind w:left="156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</w:p>
    <w:p w:rsidR="00C9297D" w:rsidRDefault="00773CBB">
      <w:pPr>
        <w:spacing w:after="7" w:line="260" w:lineRule="auto"/>
        <w:ind w:left="-5" w:right="77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Помощь школе, </w:t>
      </w:r>
      <w:r>
        <w:rPr>
          <w:rFonts w:ascii="Times New Roman" w:eastAsia="Times New Roman" w:hAnsi="Times New Roman" w:cs="Times New Roman"/>
          <w:sz w:val="28"/>
        </w:rPr>
        <w:t xml:space="preserve">семье в правильной профессиональной ориентации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ребенка  2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Выбор профиля обучения. </w:t>
      </w:r>
    </w:p>
    <w:p w:rsidR="00C9297D" w:rsidRDefault="00773CBB">
      <w:pPr>
        <w:spacing w:after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Цель собрания: </w:t>
      </w:r>
    </w:p>
    <w:p w:rsidR="00C9297D" w:rsidRDefault="00773CBB">
      <w:pPr>
        <w:spacing w:after="7" w:line="260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8"/>
        </w:rPr>
        <w:t>Сформировать у родителей понимание о необходимости принятия решения о формировании профильных групп обучения с целью дальнейшего углубленного изучения выб</w:t>
      </w:r>
      <w:r>
        <w:rPr>
          <w:rFonts w:ascii="Times New Roman" w:eastAsia="Times New Roman" w:hAnsi="Times New Roman" w:cs="Times New Roman"/>
          <w:sz w:val="28"/>
        </w:rPr>
        <w:t xml:space="preserve">ранных дисциплин </w:t>
      </w:r>
    </w:p>
    <w:p w:rsidR="00C9297D" w:rsidRDefault="00773CBB">
      <w:pPr>
        <w:spacing w:after="7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9297D" w:rsidRDefault="00773CBB">
      <w:pPr>
        <w:spacing w:after="0"/>
        <w:ind w:left="1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9297D" w:rsidRDefault="00773CBB">
      <w:pPr>
        <w:spacing w:after="494"/>
        <w:ind w:left="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Ход собрания: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spacing w:after="116" w:line="267" w:lineRule="auto"/>
        <w:ind w:left="19" w:hanging="10"/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 первому вопросу</w:t>
      </w:r>
      <w:r>
        <w:rPr>
          <w:rFonts w:ascii="Times New Roman" w:eastAsia="Times New Roman" w:hAnsi="Times New Roman" w:cs="Times New Roman"/>
          <w:sz w:val="28"/>
        </w:rPr>
        <w:t xml:space="preserve"> выступил директор школы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З.Ш.</w:t>
      </w:r>
    </w:p>
    <w:p w:rsidR="00C9297D" w:rsidRDefault="00773CBB">
      <w:pPr>
        <w:spacing w:after="126" w:line="260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Шаудиевна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отметила, что выбор профессии – </w:t>
      </w:r>
      <w:r>
        <w:rPr>
          <w:rFonts w:ascii="Times New Roman" w:eastAsia="Times New Roman" w:hAnsi="Times New Roman" w:cs="Times New Roman"/>
          <w:sz w:val="28"/>
        </w:rPr>
        <w:t xml:space="preserve">один из главных жизненных выборов, совершаемых человеком в юном возрасте, так как, </w:t>
      </w:r>
      <w:r>
        <w:rPr>
          <w:rFonts w:ascii="Times New Roman" w:eastAsia="Times New Roman" w:hAnsi="Times New Roman" w:cs="Times New Roman"/>
          <w:sz w:val="28"/>
        </w:rPr>
        <w:lastRenderedPageBreak/>
        <w:t>выбирая профессию, он выбирает и образ жизни. Человек, выбирающий свою будущую профессию должен достаточно четко представлять ту профессиональную общность, в которую подраст</w:t>
      </w:r>
      <w:r>
        <w:rPr>
          <w:rFonts w:ascii="Times New Roman" w:eastAsia="Times New Roman" w:hAnsi="Times New Roman" w:cs="Times New Roman"/>
          <w:sz w:val="28"/>
        </w:rPr>
        <w:t>ающий человек в будущем включит себя. Для очень многих ситуация выбора оказывается стрессовой. Причины этого кроются в том, что, с одной стороны, человеку страшно брать на себя ответственность за свои поступки, с другой – он просто не знает, как грамотно п</w:t>
      </w:r>
      <w:r>
        <w:rPr>
          <w:rFonts w:ascii="Times New Roman" w:eastAsia="Times New Roman" w:hAnsi="Times New Roman" w:cs="Times New Roman"/>
          <w:sz w:val="28"/>
        </w:rPr>
        <w:t xml:space="preserve">ринять решение, чтобы оно соответствовало его интересам и целям. </w:t>
      </w:r>
    </w:p>
    <w:p w:rsidR="00C9297D" w:rsidRDefault="00773CBB">
      <w:pPr>
        <w:spacing w:after="110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       Родительская помощь ребенку в выборе образовательного маршрута может заключаться в следующем: </w:t>
      </w:r>
    </w:p>
    <w:p w:rsidR="00C9297D" w:rsidRDefault="00773CBB">
      <w:pPr>
        <w:spacing w:after="119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-совет ребенку; </w:t>
      </w:r>
    </w:p>
    <w:p w:rsidR="00C9297D" w:rsidRDefault="00773CBB">
      <w:pPr>
        <w:spacing w:after="15" w:line="359" w:lineRule="auto"/>
        <w:ind w:left="19" w:right="465" w:hanging="10"/>
      </w:pPr>
      <w:r>
        <w:rPr>
          <w:rFonts w:ascii="Times New Roman" w:eastAsia="Times New Roman" w:hAnsi="Times New Roman" w:cs="Times New Roman"/>
          <w:sz w:val="28"/>
        </w:rPr>
        <w:t>-приобретение необходимых справочников и поиск в сети интернет; -сбор и</w:t>
      </w:r>
      <w:r>
        <w:rPr>
          <w:rFonts w:ascii="Times New Roman" w:eastAsia="Times New Roman" w:hAnsi="Times New Roman" w:cs="Times New Roman"/>
          <w:sz w:val="28"/>
        </w:rPr>
        <w:t xml:space="preserve">нформации об учебных заведениях. </w:t>
      </w:r>
    </w:p>
    <w:p w:rsidR="00C9297D" w:rsidRDefault="00773CBB">
      <w:pPr>
        <w:spacing w:after="113" w:line="260" w:lineRule="auto"/>
        <w:ind w:left="-5" w:right="-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1010717</wp:posOffset>
                </wp:positionH>
                <wp:positionV relativeFrom="page">
                  <wp:posOffset>7474966</wp:posOffset>
                </wp:positionV>
                <wp:extent cx="6096" cy="204216"/>
                <wp:effectExtent l="0" t="0" r="0" b="0"/>
                <wp:wrapSquare wrapText="bothSides"/>
                <wp:docPr id="2215" name="Group 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04216"/>
                          <a:chOff x="0" y="0"/>
                          <a:chExt cx="6096" cy="204216"/>
                        </a:xfrm>
                      </wpg:grpSpPr>
                      <wps:wsp>
                        <wps:cNvPr id="2774" name="Shape 2774"/>
                        <wps:cNvSpPr/>
                        <wps:spPr>
                          <a:xfrm>
                            <a:off x="0" y="0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5" style="width:0.480003pt;height:16.08pt;position:absolute;mso-position-horizontal-relative:page;mso-position-horizontal:absolute;margin-left:79.584pt;mso-position-vertical-relative:page;margin-top:588.58pt;" coordsize="60,2042">
                <v:shape id="Shape 2775" style="position:absolute;width:91;height:2042;left:0;top:0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1010717</wp:posOffset>
                </wp:positionH>
                <wp:positionV relativeFrom="page">
                  <wp:posOffset>8496046</wp:posOffset>
                </wp:positionV>
                <wp:extent cx="6096" cy="205740"/>
                <wp:effectExtent l="0" t="0" r="0" b="0"/>
                <wp:wrapSquare wrapText="bothSides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05740"/>
                          <a:chOff x="0" y="0"/>
                          <a:chExt cx="6096" cy="205740"/>
                        </a:xfrm>
                      </wpg:grpSpPr>
                      <wps:wsp>
                        <wps:cNvPr id="2776" name="Shape 2776"/>
                        <wps:cNvSpPr/>
                        <wps:spPr>
                          <a:xfrm>
                            <a:off x="0" y="0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6" style="width:0.480003pt;height:16.2pt;position:absolute;mso-position-horizontal-relative:page;mso-position-horizontal:absolute;margin-left:79.584pt;mso-position-vertical-relative:page;margin-top:668.98pt;" coordsize="60,2057">
                <v:shape id="Shape 2777" style="position:absolute;width:91;height:2057;left:0;top:0;" coordsize="9144,205740" path="m0,0l9144,0l9144,205740l0,2057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1010717</wp:posOffset>
                </wp:positionH>
                <wp:positionV relativeFrom="page">
                  <wp:posOffset>9314688</wp:posOffset>
                </wp:positionV>
                <wp:extent cx="6096" cy="204216"/>
                <wp:effectExtent l="0" t="0" r="0" b="0"/>
                <wp:wrapSquare wrapText="bothSides"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04216"/>
                          <a:chOff x="0" y="0"/>
                          <a:chExt cx="6096" cy="204216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7" style="width:0.480003pt;height:16.08pt;position:absolute;mso-position-horizontal-relative:page;mso-position-horizontal:absolute;margin-left:79.584pt;mso-position-vertical-relative:page;margin-top:733.44pt;" coordsize="60,2042">
                <v:shape id="Shape 2779" style="position:absolute;width:91;height:2042;left:0;top:0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  В оставшееся время необходимо оказать помощь детям в их подготовке к сознательному профессиональному самоопределению. </w:t>
      </w: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 второму вопросу</w:t>
      </w:r>
      <w:r>
        <w:rPr>
          <w:rFonts w:ascii="Times New Roman" w:eastAsia="Times New Roman" w:hAnsi="Times New Roman" w:cs="Times New Roman"/>
          <w:sz w:val="28"/>
        </w:rPr>
        <w:t xml:space="preserve"> слушали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П.А.</w:t>
      </w:r>
    </w:p>
    <w:p w:rsidR="00C9297D" w:rsidRDefault="00773CBB">
      <w:pPr>
        <w:spacing w:after="117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Петимат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Арсмиковна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сообщила, что углубленное изучение предмета - это расширение предметных компетенций обучающихся, дополнительная их подготовка в рамках учебного предмета, курса, дисциплины, которая обеспечивает в том числе возможность продолжения обучения определенног</w:t>
      </w:r>
      <w:r>
        <w:rPr>
          <w:rFonts w:ascii="Times New Roman" w:eastAsia="Times New Roman" w:hAnsi="Times New Roman" w:cs="Times New Roman"/>
          <w:sz w:val="28"/>
        </w:rPr>
        <w:t xml:space="preserve">о профиля. </w:t>
      </w:r>
    </w:p>
    <w:p w:rsidR="00C9297D" w:rsidRDefault="00773CBB">
      <w:pPr>
        <w:spacing w:after="121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       Согласно предпочтениям обучающихся, есть возможность выбрать несколько профилей обучения: </w:t>
      </w:r>
    </w:p>
    <w:p w:rsidR="00C9297D" w:rsidRDefault="00773CBB">
      <w:pPr>
        <w:pStyle w:val="1"/>
        <w:ind w:left="9"/>
      </w:pPr>
      <w:r>
        <w:t>Технологический (инженерный)</w:t>
      </w:r>
      <w:r>
        <w:rPr>
          <w:b w:val="0"/>
        </w:rPr>
        <w:t xml:space="preserve"> </w:t>
      </w:r>
    </w:p>
    <w:p w:rsidR="00C9297D" w:rsidRDefault="00773CBB">
      <w:pPr>
        <w:spacing w:after="15" w:line="267" w:lineRule="auto"/>
        <w:ind w:left="19" w:right="162" w:hanging="10"/>
      </w:pPr>
      <w:r>
        <w:rPr>
          <w:rFonts w:ascii="Times New Roman" w:eastAsia="Times New Roman" w:hAnsi="Times New Roman" w:cs="Times New Roman"/>
          <w:sz w:val="28"/>
        </w:rPr>
        <w:t>С 10-го класса учащиеся будут изучать предметы на углубленном уровне: − математика: алгебра и начала математического</w:t>
      </w:r>
      <w:r>
        <w:rPr>
          <w:rFonts w:ascii="Times New Roman" w:eastAsia="Times New Roman" w:hAnsi="Times New Roman" w:cs="Times New Roman"/>
          <w:sz w:val="28"/>
        </w:rPr>
        <w:t xml:space="preserve"> анализа, геометрия / физика. </w:t>
      </w:r>
    </w:p>
    <w:p w:rsidR="00C9297D" w:rsidRDefault="00773CBB">
      <w:pPr>
        <w:spacing w:after="32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9297D" w:rsidRDefault="00773CBB">
      <w:pPr>
        <w:pStyle w:val="1"/>
        <w:ind w:left="9"/>
      </w:pPr>
      <w:r>
        <w:t>Естественно-научный</w:t>
      </w:r>
      <w:r>
        <w:rPr>
          <w:b w:val="0"/>
        </w:rPr>
        <w:t xml:space="preserve"> </w:t>
      </w:r>
    </w:p>
    <w:p w:rsidR="00C9297D" w:rsidRDefault="00773CBB">
      <w:pPr>
        <w:spacing w:after="15" w:line="267" w:lineRule="auto"/>
        <w:ind w:left="19" w:right="162" w:hanging="10"/>
      </w:pPr>
      <w:r>
        <w:rPr>
          <w:rFonts w:ascii="Times New Roman" w:eastAsia="Times New Roman" w:hAnsi="Times New Roman" w:cs="Times New Roman"/>
          <w:sz w:val="28"/>
        </w:rPr>
        <w:t xml:space="preserve">С 10-го класса учащиеся будут изучать предметы на углубленном уровне: − химия / биология. </w:t>
      </w:r>
    </w:p>
    <w:p w:rsidR="00C9297D" w:rsidRDefault="00773CBB">
      <w:pPr>
        <w:spacing w:after="33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pStyle w:val="1"/>
        <w:ind w:left="9"/>
      </w:pPr>
      <w:r>
        <w:t xml:space="preserve">Гуманитарный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С 10-го класса учащиеся будут изучать предметы на углубленном уровне: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литература / обществознание;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литература / иностранный язык;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литература / история;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− история / обществознание; </w:t>
      </w:r>
    </w:p>
    <w:p w:rsidR="00C9297D" w:rsidRDefault="00773CBB">
      <w:pPr>
        <w:spacing w:after="15" w:line="267" w:lineRule="auto"/>
        <w:ind w:left="19" w:right="4579" w:hanging="10"/>
      </w:pPr>
      <w:r>
        <w:rPr>
          <w:rFonts w:ascii="Times New Roman" w:eastAsia="Times New Roman" w:hAnsi="Times New Roman" w:cs="Times New Roman"/>
          <w:sz w:val="28"/>
        </w:rPr>
        <w:t xml:space="preserve">− иностранный язык / история; − иностранный язык / обществознание. </w:t>
      </w:r>
    </w:p>
    <w:p w:rsidR="00C9297D" w:rsidRDefault="00773CBB">
      <w:pPr>
        <w:spacing w:after="35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pStyle w:val="1"/>
        <w:ind w:left="9"/>
      </w:pPr>
      <w:r>
        <w:t xml:space="preserve">Социально-экономический </w:t>
      </w:r>
    </w:p>
    <w:p w:rsidR="00C9297D" w:rsidRDefault="00773CBB">
      <w:pPr>
        <w:spacing w:after="15" w:line="267" w:lineRule="auto"/>
        <w:ind w:left="19" w:right="162" w:hanging="10"/>
      </w:pPr>
      <w:r>
        <w:rPr>
          <w:rFonts w:ascii="Times New Roman" w:eastAsia="Times New Roman" w:hAnsi="Times New Roman" w:cs="Times New Roman"/>
          <w:sz w:val="28"/>
        </w:rPr>
        <w:t>С 10-го класса учащиеся будут изучать пре</w:t>
      </w:r>
      <w:r>
        <w:rPr>
          <w:rFonts w:ascii="Times New Roman" w:eastAsia="Times New Roman" w:hAnsi="Times New Roman" w:cs="Times New Roman"/>
          <w:sz w:val="28"/>
        </w:rPr>
        <w:t xml:space="preserve">дметы на углубленном уровне: − математика: алгебра и начала математического анализа, геометрия / обществознание;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обществознание / география;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математика: алгебра и начала математического анализа, геометрия / обществознание / география. </w:t>
      </w:r>
    </w:p>
    <w:p w:rsidR="00C9297D" w:rsidRDefault="00773CBB">
      <w:pPr>
        <w:spacing w:after="34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pStyle w:val="1"/>
        <w:ind w:left="9"/>
      </w:pPr>
      <w:r>
        <w:t>Универсальны</w:t>
      </w:r>
      <w:r>
        <w:t xml:space="preserve">й профиль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С 10-го класса учащиеся будут изучать предметы на углубленном уровне: </w:t>
      </w:r>
    </w:p>
    <w:p w:rsidR="00C9297D" w:rsidRDefault="00773CBB">
      <w:pPr>
        <w:spacing w:after="15" w:line="267" w:lineRule="auto"/>
        <w:ind w:left="19" w:hanging="10"/>
      </w:pPr>
      <w:r>
        <w:rPr>
          <w:rFonts w:ascii="Times New Roman" w:eastAsia="Times New Roman" w:hAnsi="Times New Roman" w:cs="Times New Roman"/>
          <w:sz w:val="28"/>
        </w:rPr>
        <w:t xml:space="preserve">− русский язык; </w:t>
      </w:r>
    </w:p>
    <w:p w:rsidR="00C9297D" w:rsidRDefault="00773CBB">
      <w:pPr>
        <w:spacing w:after="15" w:line="267" w:lineRule="auto"/>
        <w:ind w:left="19" w:right="969" w:hanging="10"/>
      </w:pPr>
      <w:r>
        <w:rPr>
          <w:rFonts w:ascii="Times New Roman" w:eastAsia="Times New Roman" w:hAnsi="Times New Roman" w:cs="Times New Roman"/>
          <w:sz w:val="28"/>
        </w:rPr>
        <w:t xml:space="preserve">− литература; − математика: алгебра и начала математического анализа, геометрия. </w:t>
      </w:r>
    </w:p>
    <w:p w:rsidR="00C9297D" w:rsidRDefault="00773CBB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pStyle w:val="1"/>
        <w:ind w:left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1010717</wp:posOffset>
                </wp:positionH>
                <wp:positionV relativeFrom="page">
                  <wp:posOffset>1954022</wp:posOffset>
                </wp:positionV>
                <wp:extent cx="6096" cy="204216"/>
                <wp:effectExtent l="0" t="0" r="0" b="0"/>
                <wp:wrapSquare wrapText="bothSides"/>
                <wp:docPr id="2476" name="Group 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04216"/>
                          <a:chOff x="0" y="0"/>
                          <a:chExt cx="6096" cy="204216"/>
                        </a:xfrm>
                      </wpg:grpSpPr>
                      <wps:wsp>
                        <wps:cNvPr id="2780" name="Shape 2780"/>
                        <wps:cNvSpPr/>
                        <wps:spPr>
                          <a:xfrm>
                            <a:off x="0" y="0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6" style="width:0.480003pt;height:16.08pt;position:absolute;mso-position-horizontal-relative:page;mso-position-horizontal:absolute;margin-left:79.584pt;mso-position-vertical-relative:page;margin-top:153.86pt;" coordsize="60,2042">
                <v:shape id="Shape 2781" style="position:absolute;width:91;height:2042;left:0;top:0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1010717</wp:posOffset>
                </wp:positionH>
                <wp:positionV relativeFrom="page">
                  <wp:posOffset>3589655</wp:posOffset>
                </wp:positionV>
                <wp:extent cx="6096" cy="204216"/>
                <wp:effectExtent l="0" t="0" r="0" b="0"/>
                <wp:wrapSquare wrapText="bothSides"/>
                <wp:docPr id="2477" name="Group 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04216"/>
                          <a:chOff x="0" y="0"/>
                          <a:chExt cx="6096" cy="204216"/>
                        </a:xfrm>
                      </wpg:grpSpPr>
                      <wps:wsp>
                        <wps:cNvPr id="2782" name="Shape 2782"/>
                        <wps:cNvSpPr/>
                        <wps:spPr>
                          <a:xfrm>
                            <a:off x="0" y="0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7" style="width:0.480003pt;height:16.08pt;position:absolute;mso-position-horizontal-relative:page;mso-position-horizontal:absolute;margin-left:79.584pt;mso-position-vertical-relative:page;margin-top:282.65pt;" coordsize="60,2042">
                <v:shape id="Shape 2783" style="position:absolute;width:91;height:2042;left:0;top:0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096" cy="210312"/>
                <wp:effectExtent l="0" t="0" r="0" b="0"/>
                <wp:docPr id="2478" name="Group 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10312"/>
                          <a:chOff x="0" y="0"/>
                          <a:chExt cx="6096" cy="210312"/>
                        </a:xfrm>
                      </wpg:grpSpPr>
                      <wps:wsp>
                        <wps:cNvPr id="2784" name="Shape 2784"/>
                        <wps:cNvSpPr/>
                        <wps:spPr>
                          <a:xfrm>
                            <a:off x="0" y="0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8" style="width:0.480003pt;height:16.56pt;mso-position-horizontal-relative:char;mso-position-vertical-relative:line" coordsize="60,2103">
                <v:shape id="Shape 2785" style="position:absolute;width:91;height:2103;left:0;top:0;" coordsize="9144,210312" path="m0,0l9144,0l9144,210312l0,21031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Технологический (информационно-технологический)</w:t>
      </w:r>
      <w:r>
        <w:rPr>
          <w:b w:val="0"/>
        </w:rPr>
        <w:t xml:space="preserve"> </w:t>
      </w:r>
    </w:p>
    <w:p w:rsidR="00C9297D" w:rsidRDefault="00773CBB">
      <w:pPr>
        <w:spacing w:after="15" w:line="267" w:lineRule="auto"/>
        <w:ind w:left="137" w:hanging="10"/>
      </w:pPr>
      <w:r>
        <w:rPr>
          <w:rFonts w:ascii="Times New Roman" w:eastAsia="Times New Roman" w:hAnsi="Times New Roman" w:cs="Times New Roman"/>
          <w:sz w:val="28"/>
        </w:rPr>
        <w:t>С 10-</w:t>
      </w:r>
      <w:r>
        <w:rPr>
          <w:rFonts w:ascii="Times New Roman" w:eastAsia="Times New Roman" w:hAnsi="Times New Roman" w:cs="Times New Roman"/>
          <w:sz w:val="28"/>
        </w:rPr>
        <w:t xml:space="preserve">го класса учащиеся будут изучать предметы на углубленном уровне: </w:t>
      </w:r>
    </w:p>
    <w:p w:rsidR="00C9297D" w:rsidRDefault="00773CBB">
      <w:pPr>
        <w:spacing w:after="15" w:line="267" w:lineRule="auto"/>
        <w:ind w:left="147" w:right="648" w:hanging="10"/>
      </w:pPr>
      <w:r>
        <w:rPr>
          <w:rFonts w:ascii="Times New Roman" w:eastAsia="Times New Roman" w:hAnsi="Times New Roman" w:cs="Times New Roman"/>
          <w:sz w:val="28"/>
        </w:rPr>
        <w:t xml:space="preserve">− математика: алгебра и начала математического анализа, геометрия / информатика. </w:t>
      </w:r>
    </w:p>
    <w:p w:rsidR="00C9297D" w:rsidRDefault="00773CBB">
      <w:pPr>
        <w:spacing w:after="247"/>
        <w:ind w:left="14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bookmarkStart w:id="0" w:name="_GoBack"/>
      <w:bookmarkEnd w:id="0"/>
    </w:p>
    <w:p w:rsidR="00C9297D" w:rsidRDefault="00773CBB">
      <w:pPr>
        <w:spacing w:after="53"/>
        <w:ind w:left="1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9297D" w:rsidRDefault="00773CBB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Решение: </w:t>
      </w:r>
    </w:p>
    <w:p w:rsidR="00C9297D" w:rsidRDefault="00773CBB">
      <w:pPr>
        <w:spacing w:after="52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297D" w:rsidRDefault="00773CBB">
      <w:pPr>
        <w:numPr>
          <w:ilvl w:val="0"/>
          <w:numId w:val="1"/>
        </w:numPr>
        <w:spacing w:after="122" w:line="267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Информацию принять к сведению. </w:t>
      </w:r>
    </w:p>
    <w:p w:rsidR="00C9297D" w:rsidRDefault="00773CBB">
      <w:pPr>
        <w:numPr>
          <w:ilvl w:val="0"/>
          <w:numId w:val="1"/>
        </w:numPr>
        <w:spacing w:after="1766" w:line="267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Родителям учащихся продолжить индивидуальную работу с детьми</w:t>
      </w:r>
      <w:r>
        <w:rPr>
          <w:rFonts w:ascii="Times New Roman" w:eastAsia="Times New Roman" w:hAnsi="Times New Roman" w:cs="Times New Roman"/>
          <w:sz w:val="28"/>
        </w:rPr>
        <w:t xml:space="preserve"> по выбору дальнейшего пути образования. </w:t>
      </w:r>
    </w:p>
    <w:p w:rsidR="00C9297D" w:rsidRDefault="00773CBB">
      <w:pPr>
        <w:spacing w:after="460" w:line="267" w:lineRule="auto"/>
        <w:ind w:left="19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Председатель: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З.Ш.Бетирова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</w:t>
      </w:r>
    </w:p>
    <w:p w:rsidR="00C9297D" w:rsidRDefault="00773CBB">
      <w:pPr>
        <w:spacing w:after="15" w:line="267" w:lineRule="auto"/>
        <w:ind w:left="19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П.А.</w:t>
      </w:r>
    </w:p>
    <w:sectPr w:rsidR="00C9297D">
      <w:pgSz w:w="11911" w:h="16831"/>
      <w:pgMar w:top="1144" w:right="940" w:bottom="1204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73DB"/>
    <w:multiLevelType w:val="hybridMultilevel"/>
    <w:tmpl w:val="D1BE1F00"/>
    <w:lvl w:ilvl="0" w:tplc="93D0F9A2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D2295A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CAB6C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AF3AA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CF32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AD7E8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E8CE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A799A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222198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7D"/>
    <w:rsid w:val="00773CBB"/>
    <w:rsid w:val="00C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E841"/>
  <w15:docId w15:val="{21FF7595-EBFF-4276-A099-3E21D4EF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INFO</cp:lastModifiedBy>
  <cp:revision>2</cp:revision>
  <dcterms:created xsi:type="dcterms:W3CDTF">2025-03-10T08:06:00Z</dcterms:created>
  <dcterms:modified xsi:type="dcterms:W3CDTF">2025-03-10T08:06:00Z</dcterms:modified>
</cp:coreProperties>
</file>